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B3872" w14:textId="29BBCF61" w:rsidR="00F54BD1" w:rsidRPr="00560FD7" w:rsidRDefault="00E719CF" w:rsidP="005938E1">
      <w:pPr>
        <w:pBdr>
          <w:bottom w:val="single" w:sz="6" w:space="1" w:color="auto"/>
        </w:pBdr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560FD7">
        <w:rPr>
          <w:rFonts w:asciiTheme="majorHAnsi" w:hAnsiTheme="majorHAnsi" w:cstheme="majorHAnsi"/>
          <w:b/>
          <w:bCs/>
          <w:sz w:val="26"/>
          <w:szCs w:val="26"/>
          <w:lang w:val="en-US"/>
        </w:rPr>
        <w:t>Sam Kernaghan</w:t>
      </w:r>
    </w:p>
    <w:p w14:paraId="0EA18AEC" w14:textId="225518A0" w:rsidR="00F75532" w:rsidRDefault="00E719CF" w:rsidP="005938E1">
      <w:pPr>
        <w:rPr>
          <w:rFonts w:asciiTheme="majorHAnsi" w:hAnsiTheme="majorHAnsi" w:cstheme="majorHAnsi"/>
          <w:lang w:val="en-US"/>
        </w:rPr>
      </w:pPr>
      <w:r w:rsidRPr="00E719CF">
        <w:rPr>
          <w:rFonts w:asciiTheme="majorHAnsi" w:hAnsiTheme="majorHAnsi" w:cstheme="majorHAnsi"/>
          <w:lang w:val="en-US"/>
        </w:rPr>
        <w:t xml:space="preserve">Sam Kernaghan </w:t>
      </w:r>
      <w:r w:rsidR="006466D2">
        <w:rPr>
          <w:rFonts w:asciiTheme="majorHAnsi" w:hAnsiTheme="majorHAnsi" w:cstheme="majorHAnsi"/>
          <w:lang w:val="en-US"/>
        </w:rPr>
        <w:t>has been</w:t>
      </w:r>
      <w:r w:rsidRPr="00E719CF">
        <w:rPr>
          <w:rFonts w:asciiTheme="majorHAnsi" w:hAnsiTheme="majorHAnsi" w:cstheme="majorHAnsi"/>
          <w:lang w:val="en-US"/>
        </w:rPr>
        <w:t xml:space="preserve"> the Director of the Resilience Program at the Committee for Sydney</w:t>
      </w:r>
      <w:r w:rsidR="006466D2">
        <w:rPr>
          <w:rFonts w:asciiTheme="majorHAnsi" w:hAnsiTheme="majorHAnsi" w:cstheme="majorHAnsi"/>
          <w:lang w:val="en-US"/>
        </w:rPr>
        <w:t xml:space="preserve"> since 2021</w:t>
      </w:r>
      <w:r w:rsidRPr="00E719CF">
        <w:rPr>
          <w:rFonts w:asciiTheme="majorHAnsi" w:hAnsiTheme="majorHAnsi" w:cstheme="majorHAnsi"/>
          <w:lang w:val="en-US"/>
        </w:rPr>
        <w:t>. Sam leads work on climate risk, decarbonisation, critical infrastructure resilience and circular economy.</w:t>
      </w:r>
      <w:r w:rsidR="00DB1408">
        <w:rPr>
          <w:rFonts w:asciiTheme="majorHAnsi" w:hAnsiTheme="majorHAnsi" w:cstheme="majorHAnsi"/>
          <w:lang w:val="en-US"/>
        </w:rPr>
        <w:t xml:space="preserve"> Prior to joining the Committee Sam co-founded the Resilient Cities Network, a global not-for-profit headquartered in Singapore, with offices in Mexi</w:t>
      </w:r>
      <w:r w:rsidR="00167134">
        <w:rPr>
          <w:rFonts w:asciiTheme="majorHAnsi" w:hAnsiTheme="majorHAnsi" w:cstheme="majorHAnsi"/>
          <w:lang w:val="en-US"/>
        </w:rPr>
        <w:t xml:space="preserve">co City, New York, London and Rotterdam. </w:t>
      </w:r>
    </w:p>
    <w:p w14:paraId="11C8881F" w14:textId="77777777" w:rsidR="00E93020" w:rsidRPr="00C85060" w:rsidRDefault="00E93020" w:rsidP="005938E1">
      <w:pPr>
        <w:rPr>
          <w:rFonts w:asciiTheme="majorHAnsi" w:hAnsiTheme="majorHAnsi" w:cstheme="majorHAnsi"/>
          <w:sz w:val="26"/>
          <w:szCs w:val="26"/>
          <w:lang w:val="en-US"/>
        </w:rPr>
      </w:pPr>
    </w:p>
    <w:p w14:paraId="56E4AC77" w14:textId="77167326" w:rsidR="00F75532" w:rsidRPr="00560FD7" w:rsidRDefault="00F75532" w:rsidP="005938E1">
      <w:pPr>
        <w:pBdr>
          <w:bottom w:val="single" w:sz="6" w:space="1" w:color="auto"/>
        </w:pBdr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560FD7">
        <w:rPr>
          <w:rFonts w:asciiTheme="majorHAnsi" w:hAnsiTheme="majorHAnsi" w:cstheme="majorHAnsi"/>
          <w:b/>
          <w:bCs/>
          <w:sz w:val="26"/>
          <w:szCs w:val="26"/>
          <w:lang w:val="en-US"/>
        </w:rPr>
        <w:t>Education</w:t>
      </w:r>
    </w:p>
    <w:p w14:paraId="64AD6546" w14:textId="77777777" w:rsidR="004035FC" w:rsidRDefault="004035FC" w:rsidP="004035FC">
      <w:pPr>
        <w:ind w:left="1440" w:hanging="144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2012</w:t>
      </w:r>
      <w:r>
        <w:rPr>
          <w:rFonts w:asciiTheme="majorHAnsi" w:hAnsiTheme="majorHAnsi" w:cstheme="majorHAnsi"/>
          <w:lang w:val="en-US"/>
        </w:rPr>
        <w:tab/>
      </w:r>
      <w:r w:rsidRPr="00E050E0">
        <w:rPr>
          <w:rFonts w:asciiTheme="majorHAnsi" w:hAnsiTheme="majorHAnsi" w:cstheme="majorHAnsi"/>
          <w:lang w:val="en-US"/>
        </w:rPr>
        <w:t>Cambridge University</w:t>
      </w:r>
      <w:r>
        <w:rPr>
          <w:rFonts w:asciiTheme="majorHAnsi" w:hAnsiTheme="majorHAnsi" w:cstheme="majorHAnsi"/>
          <w:lang w:val="en-US"/>
        </w:rPr>
        <w:t xml:space="preserve">, </w:t>
      </w:r>
      <w:r w:rsidRPr="00E050E0">
        <w:rPr>
          <w:rFonts w:asciiTheme="majorHAnsi" w:hAnsiTheme="majorHAnsi" w:cstheme="majorHAnsi"/>
          <w:lang w:val="en-US"/>
        </w:rPr>
        <w:t>Cambridge Program for Sustainability Leadership (Distinction</w:t>
      </w:r>
      <w:r>
        <w:rPr>
          <w:rFonts w:asciiTheme="majorHAnsi" w:hAnsiTheme="majorHAnsi" w:cstheme="majorHAnsi"/>
          <w:lang w:val="en-US"/>
        </w:rPr>
        <w:t>)</w:t>
      </w:r>
    </w:p>
    <w:p w14:paraId="1FF855FE" w14:textId="77777777" w:rsidR="004035FC" w:rsidRDefault="004035FC" w:rsidP="004035FC">
      <w:pPr>
        <w:ind w:left="1440" w:hanging="144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2006</w:t>
      </w:r>
      <w:r>
        <w:rPr>
          <w:rFonts w:asciiTheme="majorHAnsi" w:hAnsiTheme="majorHAnsi" w:cstheme="majorHAnsi"/>
          <w:lang w:val="en-US"/>
        </w:rPr>
        <w:tab/>
      </w:r>
      <w:r w:rsidRPr="00B06BBF">
        <w:rPr>
          <w:rFonts w:asciiTheme="majorHAnsi" w:hAnsiTheme="majorHAnsi" w:cstheme="majorHAnsi"/>
          <w:lang w:val="en-US"/>
        </w:rPr>
        <w:t>Macquarie University Graduate School of Environment</w:t>
      </w:r>
      <w:r>
        <w:rPr>
          <w:rFonts w:asciiTheme="majorHAnsi" w:hAnsiTheme="majorHAnsi" w:cstheme="majorHAnsi"/>
          <w:lang w:val="en-US"/>
        </w:rPr>
        <w:t xml:space="preserve">, </w:t>
      </w:r>
      <w:r w:rsidRPr="00B06BBF">
        <w:rPr>
          <w:rFonts w:asciiTheme="majorHAnsi" w:hAnsiTheme="majorHAnsi" w:cstheme="majorHAnsi"/>
          <w:lang w:val="en-US"/>
        </w:rPr>
        <w:t>Master of Environmental Management (Distinction)</w:t>
      </w:r>
    </w:p>
    <w:p w14:paraId="3E2977C3" w14:textId="58CADBA2" w:rsidR="00B15F76" w:rsidRDefault="00B15F76" w:rsidP="00F75532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20</w:t>
      </w:r>
      <w:r w:rsidR="00985451">
        <w:rPr>
          <w:rFonts w:asciiTheme="majorHAnsi" w:hAnsiTheme="majorHAnsi" w:cstheme="majorHAnsi"/>
          <w:lang w:val="en-US"/>
        </w:rPr>
        <w:t>00</w:t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  <w:t>University of Sydney, Bachelor of Political Economic and Social Sciences</w:t>
      </w:r>
      <w:r w:rsidR="00985451">
        <w:rPr>
          <w:rFonts w:asciiTheme="majorHAnsi" w:hAnsiTheme="majorHAnsi" w:cstheme="majorHAnsi"/>
          <w:lang w:val="en-US"/>
        </w:rPr>
        <w:t xml:space="preserve"> (</w:t>
      </w:r>
      <w:r>
        <w:rPr>
          <w:rFonts w:asciiTheme="majorHAnsi" w:hAnsiTheme="majorHAnsi" w:cstheme="majorHAnsi"/>
          <w:lang w:val="en-US"/>
        </w:rPr>
        <w:t>Honours</w:t>
      </w:r>
      <w:proofErr w:type="gramStart"/>
      <w:r w:rsidR="00985451">
        <w:rPr>
          <w:rFonts w:asciiTheme="majorHAnsi" w:hAnsiTheme="majorHAnsi" w:cstheme="majorHAnsi"/>
          <w:lang w:val="en-US"/>
        </w:rPr>
        <w:t>)</w:t>
      </w:r>
      <w:r w:rsidR="00985451"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proofErr w:type="gramEnd"/>
      <w:r>
        <w:rPr>
          <w:rFonts w:asciiTheme="majorHAnsi" w:hAnsiTheme="majorHAnsi" w:cstheme="majorHAnsi"/>
          <w:lang w:val="en-US"/>
        </w:rPr>
        <w:t>Dean’s list of academic excellence</w:t>
      </w:r>
    </w:p>
    <w:p w14:paraId="0501CC7C" w14:textId="77777777" w:rsidR="00E93020" w:rsidRDefault="00E93020" w:rsidP="00E93020">
      <w:pPr>
        <w:ind w:left="1440" w:hanging="1440"/>
        <w:rPr>
          <w:rFonts w:asciiTheme="majorHAnsi" w:hAnsiTheme="majorHAnsi" w:cstheme="majorHAnsi"/>
          <w:lang w:val="en-US"/>
        </w:rPr>
      </w:pPr>
    </w:p>
    <w:p w14:paraId="4F70550C" w14:textId="186CB56E" w:rsidR="00F900B0" w:rsidRPr="00560FD7" w:rsidRDefault="00152CD0" w:rsidP="00F75532">
      <w:pPr>
        <w:pBdr>
          <w:bottom w:val="single" w:sz="6" w:space="1" w:color="auto"/>
        </w:pBdr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560FD7">
        <w:rPr>
          <w:rFonts w:asciiTheme="majorHAnsi" w:hAnsiTheme="majorHAnsi" w:cstheme="majorHAnsi"/>
          <w:b/>
          <w:bCs/>
          <w:sz w:val="26"/>
          <w:szCs w:val="26"/>
          <w:lang w:val="en-US"/>
        </w:rPr>
        <w:t>Research Exemplars</w:t>
      </w:r>
    </w:p>
    <w:p w14:paraId="34F54C41" w14:textId="77777777" w:rsidR="00154968" w:rsidRPr="00154968" w:rsidRDefault="00154968" w:rsidP="00154968">
      <w:pPr>
        <w:rPr>
          <w:rFonts w:asciiTheme="majorHAnsi" w:hAnsiTheme="majorHAnsi" w:cstheme="majorHAnsi"/>
        </w:rPr>
      </w:pPr>
      <w:r w:rsidRPr="00154968">
        <w:rPr>
          <w:rFonts w:asciiTheme="majorHAnsi" w:hAnsiTheme="majorHAnsi" w:cstheme="majorHAnsi"/>
        </w:rPr>
        <w:t xml:space="preserve">At the Committee, Sam has led research on reducing flood risk, and led the development of “Decarbonising Sydney” a report which sets out the pathway for Sydney to meet its 2030 and 2050 carbon reduction goals, co-created a plan to make Sydney “Nature Positive”, and is focused a plan to adapt to climate and economic risks facing vulnerable communities across Sydney. Major research reports and shorter policy statements include: </w:t>
      </w:r>
    </w:p>
    <w:p w14:paraId="26384496" w14:textId="65FC01C2" w:rsidR="00954284" w:rsidRPr="00745AA4" w:rsidRDefault="00787208" w:rsidP="00745AA4">
      <w:pPr>
        <w:pStyle w:val="BodyText"/>
        <w:numPr>
          <w:ilvl w:val="0"/>
          <w:numId w:val="6"/>
        </w:numPr>
        <w:tabs>
          <w:tab w:val="left" w:pos="377"/>
        </w:tabs>
        <w:spacing w:before="0"/>
        <w:jc w:val="both"/>
        <w:rPr>
          <w:rFonts w:asciiTheme="majorHAnsi" w:hAnsiTheme="majorHAnsi" w:cstheme="majorHAnsi"/>
          <w:sz w:val="22"/>
        </w:rPr>
      </w:pPr>
      <w:hyperlink r:id="rId5" w:history="1">
        <w:r w:rsidR="00D92AB4" w:rsidRPr="00787208">
          <w:rPr>
            <w:rStyle w:val="Hyperlink"/>
            <w:rFonts w:asciiTheme="majorHAnsi" w:hAnsiTheme="majorHAnsi" w:cstheme="majorHAnsi"/>
            <w:color w:val="auto"/>
            <w:sz w:val="22"/>
          </w:rPr>
          <w:t>Nature’s Resilience Dividend</w:t>
        </w:r>
        <w:r w:rsidR="00954284" w:rsidRPr="00787208">
          <w:rPr>
            <w:rStyle w:val="Hyperlink"/>
            <w:rFonts w:asciiTheme="majorHAnsi" w:hAnsiTheme="majorHAnsi" w:cstheme="majorHAnsi"/>
            <w:color w:val="auto"/>
            <w:sz w:val="22"/>
          </w:rPr>
          <w:t xml:space="preserve">: </w:t>
        </w:r>
        <w:r w:rsidR="00745AA4" w:rsidRPr="00787208">
          <w:rPr>
            <w:rStyle w:val="Hyperlink"/>
            <w:rFonts w:asciiTheme="majorHAnsi" w:hAnsiTheme="majorHAnsi" w:cstheme="majorHAnsi"/>
            <w:color w:val="auto"/>
            <w:sz w:val="22"/>
          </w:rPr>
          <w:t>How nature can strengthen Sydney’s</w:t>
        </w:r>
        <w:r w:rsidR="00745AA4" w:rsidRPr="00787208">
          <w:rPr>
            <w:rStyle w:val="Hyperlink"/>
            <w:rFonts w:asciiTheme="majorHAnsi" w:hAnsiTheme="majorHAnsi" w:cstheme="majorHAnsi"/>
            <w:color w:val="auto"/>
            <w:sz w:val="22"/>
          </w:rPr>
          <w:t xml:space="preserve"> </w:t>
        </w:r>
        <w:r w:rsidR="00745AA4" w:rsidRPr="00787208">
          <w:rPr>
            <w:rStyle w:val="Hyperlink"/>
            <w:rFonts w:asciiTheme="majorHAnsi" w:hAnsiTheme="majorHAnsi" w:cstheme="majorHAnsi"/>
            <w:color w:val="auto"/>
            <w:sz w:val="22"/>
          </w:rPr>
          <w:t>flood and coastal hazard resilience</w:t>
        </w:r>
      </w:hyperlink>
      <w:r>
        <w:rPr>
          <w:rFonts w:asciiTheme="majorHAnsi" w:hAnsiTheme="majorHAnsi" w:cstheme="majorHAnsi"/>
          <w:sz w:val="22"/>
        </w:rPr>
        <w:t xml:space="preserve"> 2025</w:t>
      </w:r>
    </w:p>
    <w:p w14:paraId="27C38C1B" w14:textId="17C61C4C" w:rsidR="008514C6" w:rsidRPr="004E4E1A" w:rsidRDefault="008514C6" w:rsidP="008514C6">
      <w:pPr>
        <w:pStyle w:val="BodyText"/>
        <w:numPr>
          <w:ilvl w:val="0"/>
          <w:numId w:val="6"/>
        </w:numPr>
        <w:tabs>
          <w:tab w:val="left" w:pos="377"/>
        </w:tabs>
        <w:spacing w:before="0"/>
        <w:jc w:val="both"/>
        <w:rPr>
          <w:rFonts w:asciiTheme="majorHAnsi" w:hAnsiTheme="majorHAnsi" w:cstheme="majorHAnsi"/>
          <w:sz w:val="22"/>
        </w:rPr>
      </w:pPr>
      <w:hyperlink r:id="rId6" w:history="1">
        <w:r w:rsidRPr="008514C6">
          <w:rPr>
            <w:rStyle w:val="Hyperlink"/>
            <w:rFonts w:asciiTheme="majorHAnsi" w:hAnsiTheme="majorHAnsi" w:cstheme="majorHAnsi"/>
            <w:color w:val="auto"/>
            <w:sz w:val="22"/>
          </w:rPr>
          <w:t xml:space="preserve">Sydney as a Renewable Energy Zone - </w:t>
        </w:r>
        <w:r w:rsidRPr="008514C6">
          <w:rPr>
            <w:rStyle w:val="Hyperlink"/>
            <w:rFonts w:asciiTheme="majorHAnsi" w:hAnsiTheme="majorHAnsi" w:cstheme="majorHAnsi"/>
            <w:color w:val="auto"/>
            <w:sz w:val="22"/>
            <w:lang w:val="en-US"/>
          </w:rPr>
          <w:t>A metropolis of energy equity, affordability and abundance</w:t>
        </w:r>
      </w:hyperlink>
      <w:r w:rsidRPr="008514C6">
        <w:rPr>
          <w:rFonts w:asciiTheme="majorHAnsi" w:hAnsiTheme="majorHAnsi" w:cstheme="majorHAnsi"/>
          <w:sz w:val="22"/>
        </w:rPr>
        <w:t xml:space="preserve"> </w:t>
      </w:r>
      <w:r w:rsidR="00D92AB4">
        <w:rPr>
          <w:rFonts w:asciiTheme="majorHAnsi" w:hAnsiTheme="majorHAnsi" w:cstheme="majorHAnsi"/>
          <w:sz w:val="22"/>
        </w:rPr>
        <w:t xml:space="preserve">2025 </w:t>
      </w:r>
      <w:r w:rsidRPr="008514C6">
        <w:rPr>
          <w:rFonts w:asciiTheme="majorHAnsi" w:hAnsiTheme="majorHAnsi" w:cstheme="majorHAnsi"/>
          <w:i/>
          <w:iCs/>
          <w:sz w:val="22"/>
        </w:rPr>
        <w:t>(Lead author)</w:t>
      </w:r>
    </w:p>
    <w:p w14:paraId="17483758" w14:textId="5F940C69" w:rsidR="004E4E1A" w:rsidRPr="004E4E1A" w:rsidRDefault="004E4E1A" w:rsidP="008514C6">
      <w:pPr>
        <w:pStyle w:val="ListParagraph"/>
        <w:numPr>
          <w:ilvl w:val="0"/>
          <w:numId w:val="6"/>
        </w:numPr>
        <w:tabs>
          <w:tab w:val="left" w:pos="377"/>
        </w:tabs>
        <w:spacing w:after="0"/>
        <w:jc w:val="both"/>
        <w:rPr>
          <w:rFonts w:asciiTheme="majorHAnsi" w:hAnsiTheme="majorHAnsi" w:cstheme="majorHAnsi"/>
        </w:rPr>
      </w:pPr>
      <w:r w:rsidRPr="004E4E1A">
        <w:rPr>
          <w:rFonts w:asciiTheme="majorHAnsi" w:eastAsia="Times New Roman" w:hAnsiTheme="majorHAnsi" w:cstheme="majorHAnsi"/>
          <w:kern w:val="0"/>
          <w:szCs w:val="24"/>
          <w:lang w:eastAsia="en-AU"/>
          <w14:ligatures w14:val="none"/>
        </w:rPr>
        <w:t xml:space="preserve">Kernaghan, S and Sturgeon, A (2024) Valuing nature as urban health infrastructure: A pathway to a nature positive city in Oxford Open Infrastructure and Health, Volume 2, 2024, ouae007, </w:t>
      </w:r>
      <w:hyperlink r:id="rId7" w:history="1">
        <w:r w:rsidRPr="004E4E1A">
          <w:rPr>
            <w:rStyle w:val="Hyperlink"/>
            <w:rFonts w:asciiTheme="majorHAnsi" w:eastAsia="Times New Roman" w:hAnsiTheme="majorHAnsi" w:cstheme="majorHAnsi"/>
            <w:color w:val="auto"/>
            <w:kern w:val="0"/>
            <w:szCs w:val="24"/>
            <w:lang w:eastAsia="en-AU"/>
            <w14:ligatures w14:val="none"/>
          </w:rPr>
          <w:t>https://doi.org/10.1093/ooih/ouae007</w:t>
        </w:r>
      </w:hyperlink>
      <w:r w:rsidRPr="004E4E1A">
        <w:rPr>
          <w:rFonts w:asciiTheme="majorHAnsi" w:eastAsia="Times New Roman" w:hAnsiTheme="majorHAnsi" w:cstheme="majorHAnsi"/>
          <w:kern w:val="0"/>
          <w:szCs w:val="24"/>
          <w:lang w:eastAsia="en-AU"/>
          <w14:ligatures w14:val="none"/>
        </w:rPr>
        <w:t xml:space="preserve"> </w:t>
      </w:r>
      <w:r w:rsidRPr="004E4E1A">
        <w:rPr>
          <w:rFonts w:asciiTheme="majorHAnsi" w:eastAsia="Times New Roman" w:hAnsiTheme="majorHAnsi" w:cstheme="majorHAnsi"/>
          <w:kern w:val="0"/>
          <w:szCs w:val="24"/>
          <w:lang w:eastAsia="en-AU"/>
          <w14:ligatures w14:val="none"/>
        </w:rPr>
        <w:t xml:space="preserve"> </w:t>
      </w:r>
    </w:p>
    <w:p w14:paraId="10C8A15E" w14:textId="5AF493B9" w:rsidR="002D2A09" w:rsidRPr="005E47B7" w:rsidRDefault="002D2A09" w:rsidP="002D2A09">
      <w:pPr>
        <w:pStyle w:val="BodyText"/>
        <w:numPr>
          <w:ilvl w:val="0"/>
          <w:numId w:val="6"/>
        </w:numPr>
        <w:spacing w:before="0"/>
        <w:jc w:val="both"/>
        <w:rPr>
          <w:rFonts w:asciiTheme="majorHAnsi" w:hAnsiTheme="majorHAnsi" w:cstheme="majorHAnsi"/>
          <w:sz w:val="22"/>
        </w:rPr>
      </w:pPr>
      <w:hyperlink r:id="rId8" w:history="1">
        <w:r w:rsidRPr="005E47B7">
          <w:rPr>
            <w:rStyle w:val="Hyperlink"/>
            <w:rFonts w:asciiTheme="majorHAnsi" w:hAnsiTheme="majorHAnsi" w:cstheme="majorHAnsi"/>
            <w:color w:val="auto"/>
            <w:sz w:val="22"/>
            <w:szCs w:val="22"/>
          </w:rPr>
          <w:t>Burning Money – The Rising Costs of Heatwaves to Western Sydney</w:t>
        </w:r>
      </w:hyperlink>
      <w:r w:rsidR="00C67863">
        <w:rPr>
          <w:rFonts w:asciiTheme="majorHAnsi" w:hAnsiTheme="majorHAnsi" w:cstheme="majorHAnsi"/>
          <w:sz w:val="22"/>
          <w:szCs w:val="22"/>
        </w:rPr>
        <w:t>, 2024</w:t>
      </w:r>
    </w:p>
    <w:p w14:paraId="7BE33D7B" w14:textId="081A4D1E" w:rsidR="002D2A09" w:rsidRPr="005E47B7" w:rsidRDefault="002D2A09" w:rsidP="002D2A09">
      <w:pPr>
        <w:pStyle w:val="BodyText"/>
        <w:numPr>
          <w:ilvl w:val="0"/>
          <w:numId w:val="6"/>
        </w:numPr>
        <w:spacing w:before="0"/>
        <w:jc w:val="both"/>
        <w:rPr>
          <w:rFonts w:asciiTheme="majorHAnsi" w:hAnsiTheme="majorHAnsi" w:cstheme="majorHAnsi"/>
          <w:sz w:val="22"/>
        </w:rPr>
      </w:pPr>
      <w:hyperlink r:id="rId9" w:history="1">
        <w:r w:rsidRPr="005E47B7">
          <w:rPr>
            <w:rStyle w:val="Hyperlink"/>
            <w:rFonts w:asciiTheme="majorHAnsi" w:hAnsiTheme="majorHAnsi" w:cstheme="majorHAnsi"/>
            <w:color w:val="auto"/>
            <w:sz w:val="22"/>
            <w:szCs w:val="22"/>
          </w:rPr>
          <w:t>Defending Sydney – Adaptive pathways for today’s floodings and tomorrow’s climate risk</w:t>
        </w:r>
      </w:hyperlink>
      <w:r w:rsidR="00A15EA0">
        <w:rPr>
          <w:rStyle w:val="Hyperlink"/>
          <w:rFonts w:asciiTheme="majorHAnsi" w:hAnsiTheme="majorHAnsi" w:cstheme="majorHAnsi"/>
          <w:color w:val="auto"/>
          <w:sz w:val="22"/>
          <w:szCs w:val="22"/>
        </w:rPr>
        <w:t>, 2023</w:t>
      </w:r>
    </w:p>
    <w:p w14:paraId="12ADAB9A" w14:textId="77777777" w:rsidR="00A15EA0" w:rsidRPr="00154968" w:rsidRDefault="00A15EA0" w:rsidP="00A15EA0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hyperlink r:id="rId10" w:history="1">
        <w:r w:rsidRPr="00154968">
          <w:rPr>
            <w:rStyle w:val="Hyperlink"/>
            <w:rFonts w:asciiTheme="majorHAnsi" w:hAnsiTheme="majorHAnsi" w:cstheme="majorHAnsi"/>
            <w:color w:val="auto"/>
          </w:rPr>
          <w:t>Nature Positive Sydney: Valuing Sydney’s Living Infrastructure</w:t>
        </w:r>
      </w:hyperlink>
      <w:r w:rsidRPr="00154968">
        <w:rPr>
          <w:rFonts w:asciiTheme="majorHAnsi" w:hAnsiTheme="majorHAnsi" w:cstheme="majorHAnsi"/>
        </w:rPr>
        <w:t xml:space="preserve">, 2023 </w:t>
      </w:r>
    </w:p>
    <w:p w14:paraId="417B2105" w14:textId="77777777" w:rsidR="00154968" w:rsidRPr="00154968" w:rsidRDefault="00154968" w:rsidP="00154968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hyperlink r:id="rId11" w:history="1">
        <w:r w:rsidRPr="00154968">
          <w:rPr>
            <w:rStyle w:val="Hyperlink"/>
            <w:rFonts w:asciiTheme="majorHAnsi" w:hAnsiTheme="majorHAnsi" w:cstheme="majorHAnsi"/>
            <w:color w:val="auto"/>
          </w:rPr>
          <w:t>Decarbonising Sydney – the role of transport, buildings and grid infrastructure in Greater Sydney’s path to Net Zero</w:t>
        </w:r>
      </w:hyperlink>
      <w:r w:rsidRPr="00154968">
        <w:rPr>
          <w:rFonts w:asciiTheme="majorHAnsi" w:hAnsiTheme="majorHAnsi" w:cstheme="majorHAnsi"/>
        </w:rPr>
        <w:t>, 2022</w:t>
      </w:r>
    </w:p>
    <w:p w14:paraId="2BAE9AA1" w14:textId="77777777" w:rsidR="00154968" w:rsidRPr="00154968" w:rsidRDefault="00154968" w:rsidP="00154968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hyperlink r:id="rId12" w:history="1">
        <w:r w:rsidRPr="00154968">
          <w:rPr>
            <w:rStyle w:val="Hyperlink"/>
            <w:rFonts w:asciiTheme="majorHAnsi" w:hAnsiTheme="majorHAnsi" w:cstheme="majorHAnsi"/>
            <w:color w:val="auto"/>
          </w:rPr>
          <w:t>Six steps to decarbonise the six cities region</w:t>
        </w:r>
      </w:hyperlink>
      <w:r w:rsidRPr="00154968">
        <w:rPr>
          <w:rFonts w:asciiTheme="majorHAnsi" w:hAnsiTheme="majorHAnsi" w:cstheme="majorHAnsi"/>
        </w:rPr>
        <w:t>, 2022</w:t>
      </w:r>
    </w:p>
    <w:p w14:paraId="646ED5D9" w14:textId="77777777" w:rsidR="00154968" w:rsidRPr="00154968" w:rsidRDefault="00154968" w:rsidP="00154968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hyperlink r:id="rId13" w:history="1">
        <w:r w:rsidRPr="00154968">
          <w:rPr>
            <w:rStyle w:val="Hyperlink"/>
            <w:rFonts w:asciiTheme="majorHAnsi" w:hAnsiTheme="majorHAnsi" w:cstheme="majorHAnsi"/>
            <w:color w:val="auto"/>
          </w:rPr>
          <w:t>Priorities for a Net Zero Sydney</w:t>
        </w:r>
      </w:hyperlink>
      <w:r w:rsidRPr="00154968">
        <w:rPr>
          <w:rFonts w:asciiTheme="majorHAnsi" w:hAnsiTheme="majorHAnsi" w:cstheme="majorHAnsi"/>
        </w:rPr>
        <w:t>, 2021</w:t>
      </w:r>
    </w:p>
    <w:p w14:paraId="518E07A1" w14:textId="77777777" w:rsidR="00154968" w:rsidRPr="00154968" w:rsidRDefault="00154968" w:rsidP="00154968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hyperlink r:id="rId14" w:history="1">
        <w:r w:rsidRPr="00154968">
          <w:rPr>
            <w:rStyle w:val="Hyperlink"/>
            <w:rFonts w:asciiTheme="majorHAnsi" w:hAnsiTheme="majorHAnsi" w:cstheme="majorHAnsi"/>
            <w:color w:val="auto"/>
          </w:rPr>
          <w:t>We can learn from Lismore now,</w:t>
        </w:r>
      </w:hyperlink>
      <w:r w:rsidRPr="00154968">
        <w:rPr>
          <w:rFonts w:asciiTheme="majorHAnsi" w:hAnsiTheme="majorHAnsi" w:cstheme="majorHAnsi"/>
        </w:rPr>
        <w:t xml:space="preserve"> 2022</w:t>
      </w:r>
    </w:p>
    <w:p w14:paraId="50C77C69" w14:textId="77777777" w:rsidR="00154968" w:rsidRPr="00154968" w:rsidRDefault="00154968" w:rsidP="00154968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hyperlink r:id="rId15" w:history="1">
        <w:r w:rsidRPr="00154968">
          <w:rPr>
            <w:rStyle w:val="Hyperlink"/>
            <w:rFonts w:asciiTheme="majorHAnsi" w:hAnsiTheme="majorHAnsi" w:cstheme="majorHAnsi"/>
            <w:color w:val="auto"/>
          </w:rPr>
          <w:t>We need to talk about Sydney’s drinking water</w:t>
        </w:r>
      </w:hyperlink>
      <w:r w:rsidRPr="00154968">
        <w:rPr>
          <w:rFonts w:asciiTheme="majorHAnsi" w:hAnsiTheme="majorHAnsi" w:cstheme="majorHAnsi"/>
        </w:rPr>
        <w:t>, 2022</w:t>
      </w:r>
    </w:p>
    <w:p w14:paraId="0FFCA895" w14:textId="77777777" w:rsidR="00154968" w:rsidRPr="00154968" w:rsidRDefault="00154968" w:rsidP="00154968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hyperlink r:id="rId16" w:history="1">
        <w:r w:rsidRPr="00154968">
          <w:rPr>
            <w:rStyle w:val="Hyperlink"/>
            <w:rFonts w:asciiTheme="majorHAnsi" w:hAnsiTheme="majorHAnsi" w:cstheme="majorHAnsi"/>
            <w:color w:val="auto"/>
          </w:rPr>
          <w:t>Stopping the cycle of disaster in Sydney</w:t>
        </w:r>
      </w:hyperlink>
      <w:r w:rsidRPr="00154968">
        <w:rPr>
          <w:rFonts w:asciiTheme="majorHAnsi" w:hAnsiTheme="majorHAnsi" w:cstheme="majorHAnsi"/>
        </w:rPr>
        <w:t>, 2022</w:t>
      </w:r>
    </w:p>
    <w:p w14:paraId="6ADC06D6" w14:textId="77777777" w:rsidR="00154968" w:rsidRPr="00154968" w:rsidRDefault="00154968" w:rsidP="00154968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hyperlink r:id="rId17" w:history="1">
        <w:proofErr w:type="spellStart"/>
        <w:r w:rsidRPr="00154968">
          <w:rPr>
            <w:rStyle w:val="Hyperlink"/>
            <w:rFonts w:asciiTheme="majorHAnsi" w:hAnsiTheme="majorHAnsi" w:cstheme="majorHAnsi"/>
            <w:color w:val="auto"/>
          </w:rPr>
          <w:t>Its</w:t>
        </w:r>
        <w:proofErr w:type="spellEnd"/>
        <w:r w:rsidRPr="00154968">
          <w:rPr>
            <w:rStyle w:val="Hyperlink"/>
            <w:rFonts w:asciiTheme="majorHAnsi" w:hAnsiTheme="majorHAnsi" w:cstheme="majorHAnsi"/>
            <w:color w:val="auto"/>
          </w:rPr>
          <w:t xml:space="preserve"> time to move people out of the path of floods</w:t>
        </w:r>
      </w:hyperlink>
      <w:r w:rsidRPr="00154968">
        <w:rPr>
          <w:rFonts w:asciiTheme="majorHAnsi" w:hAnsiTheme="majorHAnsi" w:cstheme="majorHAnsi"/>
        </w:rPr>
        <w:t>, 2022</w:t>
      </w:r>
    </w:p>
    <w:p w14:paraId="15FF2E1D" w14:textId="77777777" w:rsidR="00154968" w:rsidRPr="00154968" w:rsidRDefault="00154968" w:rsidP="00154968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hyperlink r:id="rId18" w:history="1">
        <w:r w:rsidRPr="00154968">
          <w:rPr>
            <w:rStyle w:val="Hyperlink"/>
            <w:rFonts w:asciiTheme="majorHAnsi" w:hAnsiTheme="majorHAnsi" w:cstheme="majorHAnsi"/>
            <w:color w:val="auto"/>
          </w:rPr>
          <w:t>Warragamba Dam: To raise or not to raise… That is the question, or is it?</w:t>
        </w:r>
      </w:hyperlink>
      <w:r w:rsidRPr="00154968">
        <w:rPr>
          <w:rFonts w:asciiTheme="majorHAnsi" w:hAnsiTheme="majorHAnsi" w:cstheme="majorHAnsi"/>
        </w:rPr>
        <w:t xml:space="preserve"> 2022</w:t>
      </w:r>
    </w:p>
    <w:p w14:paraId="7998D770" w14:textId="77777777" w:rsidR="00154968" w:rsidRPr="00154968" w:rsidRDefault="00154968" w:rsidP="00154968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hyperlink r:id="rId19" w:history="1">
        <w:r w:rsidRPr="00154968">
          <w:rPr>
            <w:rStyle w:val="Hyperlink"/>
            <w:rFonts w:asciiTheme="majorHAnsi" w:hAnsiTheme="majorHAnsi" w:cstheme="majorHAnsi"/>
            <w:color w:val="auto"/>
          </w:rPr>
          <w:t>Ten ideas for the next Greater Sydney Region Plan</w:t>
        </w:r>
      </w:hyperlink>
      <w:r w:rsidRPr="00154968">
        <w:rPr>
          <w:rFonts w:asciiTheme="majorHAnsi" w:hAnsiTheme="majorHAnsi" w:cstheme="majorHAnsi"/>
        </w:rPr>
        <w:t>, 2021</w:t>
      </w:r>
    </w:p>
    <w:p w14:paraId="020ADCD9" w14:textId="77777777" w:rsidR="004E4E1A" w:rsidRDefault="004E4E1A" w:rsidP="00154968">
      <w:pPr>
        <w:rPr>
          <w:rFonts w:asciiTheme="majorHAnsi" w:hAnsiTheme="majorHAnsi" w:cstheme="majorHAnsi"/>
        </w:rPr>
      </w:pPr>
    </w:p>
    <w:p w14:paraId="778DD9C5" w14:textId="4DAD07A3" w:rsidR="00154968" w:rsidRPr="00154968" w:rsidRDefault="00154968" w:rsidP="00154968">
      <w:pPr>
        <w:rPr>
          <w:rFonts w:asciiTheme="majorHAnsi" w:hAnsiTheme="majorHAnsi" w:cstheme="majorHAnsi"/>
        </w:rPr>
      </w:pPr>
      <w:r w:rsidRPr="00154968">
        <w:rPr>
          <w:rFonts w:asciiTheme="majorHAnsi" w:hAnsiTheme="majorHAnsi" w:cstheme="majorHAnsi"/>
        </w:rPr>
        <w:lastRenderedPageBreak/>
        <w:t>Prior to the Committee, Sam has been the lead or contributing author on the following research:</w:t>
      </w:r>
    </w:p>
    <w:p w14:paraId="17E864F6" w14:textId="77777777" w:rsidR="00154968" w:rsidRPr="00154968" w:rsidRDefault="00154968" w:rsidP="00154968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Theme="majorHAnsi" w:hAnsiTheme="majorHAnsi" w:cstheme="majorHAnsi"/>
          <w:color w:val="1A1A1A" w:themeColor="background1" w:themeShade="1A"/>
        </w:rPr>
      </w:pPr>
      <w:r w:rsidRPr="00154968">
        <w:rPr>
          <w:rFonts w:asciiTheme="majorHAnsi" w:hAnsiTheme="majorHAnsi" w:cstheme="majorHAnsi"/>
          <w:color w:val="1A1A1A" w:themeColor="background1" w:themeShade="1A"/>
        </w:rPr>
        <w:t xml:space="preserve">Kernaghan et al. (2020) </w:t>
      </w:r>
      <w:hyperlink r:id="rId20" w:history="1">
        <w:r w:rsidRPr="00154968">
          <w:rPr>
            <w:rStyle w:val="Hyperlink"/>
            <w:rFonts w:asciiTheme="majorHAnsi" w:hAnsiTheme="majorHAnsi" w:cstheme="majorHAnsi"/>
            <w:color w:val="1A1A1A" w:themeColor="background1" w:themeShade="1A"/>
          </w:rPr>
          <w:t>Manchester Briefing on COVID-19 Lessons for a Resilient Recovery</w:t>
        </w:r>
      </w:hyperlink>
    </w:p>
    <w:p w14:paraId="4975F7B9" w14:textId="77777777" w:rsidR="00154968" w:rsidRPr="00154968" w:rsidRDefault="00154968" w:rsidP="00154968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Style w:val="Hyperlink"/>
          <w:rFonts w:asciiTheme="majorHAnsi" w:hAnsiTheme="majorHAnsi" w:cstheme="majorHAnsi"/>
          <w:color w:val="auto"/>
        </w:rPr>
      </w:pPr>
      <w:r w:rsidRPr="00154968">
        <w:rPr>
          <w:rFonts w:asciiTheme="majorHAnsi" w:hAnsiTheme="majorHAnsi" w:cstheme="majorHAnsi"/>
        </w:rPr>
        <w:t xml:space="preserve">UNESCAP </w:t>
      </w:r>
      <w:r w:rsidRPr="00154968">
        <w:rPr>
          <w:rFonts w:asciiTheme="majorHAnsi" w:hAnsiTheme="majorHAnsi" w:cstheme="majorHAnsi"/>
          <w:color w:val="1A1A1A" w:themeColor="background1" w:themeShade="1A"/>
        </w:rPr>
        <w:t>(</w:t>
      </w:r>
      <w:r w:rsidRPr="00154968">
        <w:rPr>
          <w:rFonts w:asciiTheme="majorHAnsi" w:hAnsiTheme="majorHAnsi" w:cstheme="majorHAnsi"/>
        </w:rPr>
        <w:t xml:space="preserve">2019) </w:t>
      </w:r>
      <w:hyperlink r:id="rId21" w:anchor=":~:text=Publications-,The%20Future%20of%20Asian%20and%20Pacific%20Cities%202019,Pathways%20Towards%20Sustainable%20Urban%20Development&amp;text=The%20cities%20of%202030%2C%202050,in%20their%20wider%20ecological%20contexts." w:history="1">
        <w:r w:rsidRPr="00154968">
          <w:rPr>
            <w:rStyle w:val="Hyperlink"/>
            <w:rFonts w:asciiTheme="majorHAnsi" w:hAnsiTheme="majorHAnsi" w:cstheme="majorHAnsi"/>
            <w:color w:val="auto"/>
          </w:rPr>
          <w:t>The Future of Asian and Pacific Cities 2019</w:t>
        </w:r>
      </w:hyperlink>
    </w:p>
    <w:p w14:paraId="4DAD638D" w14:textId="77777777" w:rsidR="00154968" w:rsidRPr="00154968" w:rsidRDefault="00154968" w:rsidP="00154968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154968">
        <w:rPr>
          <w:rFonts w:asciiTheme="majorHAnsi" w:hAnsiTheme="majorHAnsi" w:cstheme="majorHAnsi"/>
        </w:rPr>
        <w:t xml:space="preserve">World Bank (2017) </w:t>
      </w:r>
      <w:hyperlink r:id="rId22" w:history="1">
        <w:r w:rsidRPr="00154968">
          <w:rPr>
            <w:rStyle w:val="Hyperlink"/>
            <w:rFonts w:asciiTheme="majorHAnsi" w:hAnsiTheme="majorHAnsi" w:cstheme="majorHAnsi"/>
            <w:color w:val="auto"/>
          </w:rPr>
          <w:t xml:space="preserve">The </w:t>
        </w:r>
        <w:proofErr w:type="spellStart"/>
        <w:r w:rsidRPr="00154968">
          <w:rPr>
            <w:rStyle w:val="Hyperlink"/>
            <w:rFonts w:asciiTheme="majorHAnsi" w:hAnsiTheme="majorHAnsi" w:cstheme="majorHAnsi"/>
            <w:color w:val="auto"/>
          </w:rPr>
          <w:t>CityStrength</w:t>
        </w:r>
        <w:proofErr w:type="spellEnd"/>
        <w:r w:rsidRPr="00154968">
          <w:rPr>
            <w:rStyle w:val="Hyperlink"/>
            <w:rFonts w:asciiTheme="majorHAnsi" w:hAnsiTheme="majorHAnsi" w:cstheme="majorHAnsi"/>
            <w:color w:val="auto"/>
          </w:rPr>
          <w:t xml:space="preserve"> Diagnostic: Promoting Urban Resilience</w:t>
        </w:r>
        <w:r w:rsidRPr="00154968" w:rsidDel="00955F32">
          <w:rPr>
            <w:rStyle w:val="Hyperlink"/>
            <w:rFonts w:asciiTheme="majorHAnsi" w:hAnsiTheme="majorHAnsi" w:cstheme="majorHAnsi"/>
            <w:color w:val="auto"/>
          </w:rPr>
          <w:t xml:space="preserve"> </w:t>
        </w:r>
      </w:hyperlink>
    </w:p>
    <w:p w14:paraId="0FD0EEEB" w14:textId="77777777" w:rsidR="00154968" w:rsidRPr="00154968" w:rsidRDefault="00154968" w:rsidP="00154968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Style w:val="Hyperlink"/>
          <w:rFonts w:asciiTheme="majorHAnsi" w:hAnsiTheme="majorHAnsi" w:cstheme="majorHAnsi"/>
          <w:color w:val="auto"/>
        </w:rPr>
      </w:pPr>
      <w:r w:rsidRPr="00154968">
        <w:rPr>
          <w:rFonts w:asciiTheme="majorHAnsi" w:hAnsiTheme="majorHAnsi" w:cstheme="majorHAnsi"/>
        </w:rPr>
        <w:t xml:space="preserve">Arup / Rockefeller Foundation (2014) </w:t>
      </w:r>
      <w:hyperlink r:id="rId23" w:history="1">
        <w:r w:rsidRPr="00154968">
          <w:rPr>
            <w:rStyle w:val="Hyperlink"/>
            <w:rFonts w:asciiTheme="majorHAnsi" w:hAnsiTheme="majorHAnsi" w:cstheme="majorHAnsi"/>
            <w:color w:val="auto"/>
          </w:rPr>
          <w:t>City Resilience Index</w:t>
        </w:r>
      </w:hyperlink>
    </w:p>
    <w:p w14:paraId="5D6A66EA" w14:textId="77777777" w:rsidR="00154968" w:rsidRPr="00154968" w:rsidRDefault="00154968" w:rsidP="001549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Style w:val="Hyperlink"/>
          <w:rFonts w:asciiTheme="majorHAnsi" w:hAnsiTheme="majorHAnsi" w:cstheme="majorHAnsi"/>
          <w:color w:val="auto"/>
        </w:rPr>
      </w:pPr>
      <w:r w:rsidRPr="00154968">
        <w:rPr>
          <w:rStyle w:val="Hyperlink"/>
          <w:rFonts w:asciiTheme="majorHAnsi" w:hAnsiTheme="majorHAnsi" w:cstheme="majorHAnsi"/>
          <w:color w:val="auto"/>
        </w:rPr>
        <w:t xml:space="preserve">Kernaghan, S., da Silva, J (2014) </w:t>
      </w:r>
      <w:hyperlink r:id="rId24" w:anchor="b0120" w:history="1">
        <w:r w:rsidRPr="00154968">
          <w:rPr>
            <w:rStyle w:val="Hyperlink"/>
            <w:rFonts w:asciiTheme="majorHAnsi" w:hAnsiTheme="majorHAnsi" w:cstheme="majorHAnsi"/>
            <w:color w:val="auto"/>
          </w:rPr>
          <w:t>Initiating and sustaining action: Experiences building resilience to climate change in Asian cities, Urban Climate</w:t>
        </w:r>
      </w:hyperlink>
      <w:r w:rsidRPr="00154968">
        <w:rPr>
          <w:rStyle w:val="Hyperlink"/>
          <w:rFonts w:asciiTheme="majorHAnsi" w:hAnsiTheme="majorHAnsi" w:cstheme="majorHAnsi"/>
          <w:color w:val="auto"/>
        </w:rPr>
        <w:t xml:space="preserve"> </w:t>
      </w:r>
    </w:p>
    <w:p w14:paraId="55FB0C07" w14:textId="77777777" w:rsidR="00154968" w:rsidRPr="00154968" w:rsidRDefault="00154968" w:rsidP="00154968">
      <w:pPr>
        <w:pStyle w:val="BodyText"/>
        <w:numPr>
          <w:ilvl w:val="0"/>
          <w:numId w:val="5"/>
        </w:numPr>
        <w:spacing w:before="0"/>
        <w:rPr>
          <w:rFonts w:asciiTheme="majorHAnsi" w:hAnsiTheme="majorHAnsi" w:cstheme="majorHAnsi"/>
          <w:sz w:val="22"/>
          <w:szCs w:val="22"/>
        </w:rPr>
      </w:pPr>
      <w:r w:rsidRPr="00154968">
        <w:rPr>
          <w:rFonts w:asciiTheme="majorHAnsi" w:hAnsiTheme="majorHAnsi" w:cstheme="majorHAnsi"/>
          <w:sz w:val="22"/>
          <w:szCs w:val="22"/>
        </w:rPr>
        <w:t xml:space="preserve">Yanez and Kernaghan (2014) </w:t>
      </w:r>
      <w:hyperlink r:id="rId25" w:history="1">
        <w:r w:rsidRPr="00154968">
          <w:rPr>
            <w:rStyle w:val="Hyperlink"/>
            <w:rFonts w:asciiTheme="majorHAnsi" w:hAnsiTheme="majorHAnsi" w:cstheme="majorHAnsi"/>
            <w:color w:val="auto"/>
            <w:sz w:val="22"/>
            <w:szCs w:val="22"/>
          </w:rPr>
          <w:t>Visions of a Resilient City</w:t>
        </w:r>
      </w:hyperlink>
      <w:r w:rsidRPr="00154968">
        <w:rPr>
          <w:rFonts w:asciiTheme="majorHAnsi" w:hAnsiTheme="majorHAnsi" w:cstheme="majorHAnsi"/>
          <w:sz w:val="22"/>
          <w:szCs w:val="22"/>
        </w:rPr>
        <w:t xml:space="preserve">, International Council of Engineers Urban Design and Planning Journal </w:t>
      </w:r>
    </w:p>
    <w:p w14:paraId="1B094D66" w14:textId="77777777" w:rsidR="00154968" w:rsidRPr="00154968" w:rsidRDefault="00154968" w:rsidP="00154968">
      <w:pPr>
        <w:pStyle w:val="BodyText"/>
        <w:numPr>
          <w:ilvl w:val="0"/>
          <w:numId w:val="5"/>
        </w:numPr>
        <w:spacing w:before="0"/>
        <w:rPr>
          <w:rFonts w:asciiTheme="majorHAnsi" w:hAnsiTheme="majorHAnsi" w:cstheme="majorHAnsi"/>
          <w:sz w:val="22"/>
          <w:szCs w:val="22"/>
        </w:rPr>
      </w:pPr>
      <w:r w:rsidRPr="00154968">
        <w:rPr>
          <w:rFonts w:asciiTheme="majorHAnsi" w:hAnsiTheme="majorHAnsi" w:cstheme="majorHAnsi"/>
          <w:sz w:val="22"/>
          <w:szCs w:val="22"/>
        </w:rPr>
        <w:t xml:space="preserve">Kernaghan and da Silva (2013). </w:t>
      </w:r>
      <w:hyperlink r:id="rId26" w:history="1">
        <w:r w:rsidRPr="00154968">
          <w:rPr>
            <w:rStyle w:val="Hyperlink"/>
            <w:rFonts w:asciiTheme="majorHAnsi" w:hAnsiTheme="majorHAnsi" w:cstheme="majorHAnsi"/>
            <w:color w:val="auto"/>
            <w:sz w:val="22"/>
            <w:szCs w:val="22"/>
          </w:rPr>
          <w:t>Towards Mainstreaming: Sustaining city action on urban climate change resilience</w:t>
        </w:r>
      </w:hyperlink>
      <w:r w:rsidRPr="00154968">
        <w:rPr>
          <w:rFonts w:asciiTheme="majorHAnsi" w:hAnsiTheme="majorHAnsi" w:cstheme="majorHAnsi"/>
          <w:sz w:val="22"/>
          <w:szCs w:val="22"/>
        </w:rPr>
        <w:t>. Journal of Urban Climate Vol. 7</w:t>
      </w:r>
    </w:p>
    <w:p w14:paraId="4EEB0843" w14:textId="77777777" w:rsidR="00154968" w:rsidRPr="00154968" w:rsidRDefault="00154968" w:rsidP="00154968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154968">
        <w:rPr>
          <w:rFonts w:asciiTheme="majorHAnsi" w:hAnsiTheme="majorHAnsi" w:cstheme="majorHAnsi"/>
        </w:rPr>
        <w:t xml:space="preserve">Collier, Hambling, Kernaghan, et al. (2014). Tomorrow's cities: A framework to assess urban resilience. Proceedings of the ICE - Urban Design and Planning. 167. </w:t>
      </w:r>
      <w:hyperlink r:id="rId27" w:history="1">
        <w:r w:rsidRPr="00154968">
          <w:rPr>
            <w:rStyle w:val="Hyperlink"/>
            <w:rFonts w:asciiTheme="majorHAnsi" w:hAnsiTheme="majorHAnsi" w:cstheme="majorHAnsi"/>
            <w:color w:val="auto"/>
          </w:rPr>
          <w:t>10.1680/udap.13.00019.</w:t>
        </w:r>
      </w:hyperlink>
      <w:r w:rsidRPr="00154968">
        <w:rPr>
          <w:rFonts w:asciiTheme="majorHAnsi" w:hAnsiTheme="majorHAnsi" w:cstheme="majorHAnsi"/>
        </w:rPr>
        <w:t xml:space="preserve"> </w:t>
      </w:r>
    </w:p>
    <w:p w14:paraId="29A8D3C0" w14:textId="77777777" w:rsidR="00154968" w:rsidRPr="00154968" w:rsidRDefault="00154968" w:rsidP="00154968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154968">
        <w:rPr>
          <w:rFonts w:asciiTheme="majorHAnsi" w:hAnsiTheme="majorHAnsi" w:cstheme="majorHAnsi"/>
        </w:rPr>
        <w:t xml:space="preserve">Rockefeller Foundation (2012) </w:t>
      </w:r>
      <w:hyperlink r:id="rId28" w:history="1">
        <w:r w:rsidRPr="00154968">
          <w:rPr>
            <w:rStyle w:val="Hyperlink"/>
            <w:rFonts w:asciiTheme="majorHAnsi" w:hAnsiTheme="majorHAnsi" w:cstheme="majorHAnsi"/>
            <w:color w:val="auto"/>
          </w:rPr>
          <w:t>NYS 2100 - Recommendations to Improve the Strength and Resilience of the Empire State’s Infrastructure, New York</w:t>
        </w:r>
      </w:hyperlink>
      <w:r w:rsidRPr="00154968">
        <w:rPr>
          <w:rFonts w:asciiTheme="majorHAnsi" w:hAnsiTheme="majorHAnsi" w:cstheme="majorHAnsi"/>
        </w:rPr>
        <w:t xml:space="preserve"> </w:t>
      </w:r>
    </w:p>
    <w:p w14:paraId="4CD02552" w14:textId="77777777" w:rsidR="00154968" w:rsidRPr="00154968" w:rsidRDefault="00154968" w:rsidP="00154968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Style w:val="Hyperlink"/>
          <w:rFonts w:asciiTheme="majorHAnsi" w:hAnsiTheme="majorHAnsi" w:cstheme="majorHAnsi"/>
          <w:color w:val="auto"/>
        </w:rPr>
      </w:pPr>
      <w:r w:rsidRPr="00154968">
        <w:rPr>
          <w:rFonts w:asciiTheme="majorHAnsi" w:hAnsiTheme="majorHAnsi" w:cstheme="majorHAnsi"/>
        </w:rPr>
        <w:t xml:space="preserve">da Silva, J., Kernaghan, S., &amp; Luque, A (2012) – </w:t>
      </w:r>
      <w:hyperlink r:id="rId29" w:history="1">
        <w:r w:rsidRPr="00154968">
          <w:rPr>
            <w:rStyle w:val="Hyperlink"/>
            <w:rFonts w:asciiTheme="majorHAnsi" w:hAnsiTheme="majorHAnsi" w:cstheme="majorHAnsi"/>
            <w:color w:val="auto"/>
          </w:rPr>
          <w:t>A systems approach to meeting the challenges of urban climate change. International Journal of Urban Sustainable Development</w:t>
        </w:r>
      </w:hyperlink>
    </w:p>
    <w:p w14:paraId="683499F2" w14:textId="77777777" w:rsidR="00154968" w:rsidRPr="00154968" w:rsidRDefault="00154968" w:rsidP="00154968">
      <w:pPr>
        <w:pStyle w:val="BodyText"/>
        <w:numPr>
          <w:ilvl w:val="0"/>
          <w:numId w:val="5"/>
        </w:numPr>
        <w:spacing w:before="0"/>
        <w:rPr>
          <w:rFonts w:asciiTheme="majorHAnsi" w:hAnsiTheme="majorHAnsi" w:cstheme="majorHAnsi"/>
          <w:sz w:val="22"/>
          <w:szCs w:val="22"/>
        </w:rPr>
      </w:pPr>
      <w:r w:rsidRPr="00154968">
        <w:rPr>
          <w:rFonts w:asciiTheme="majorHAnsi" w:hAnsiTheme="majorHAnsi" w:cstheme="majorHAnsi"/>
          <w:sz w:val="22"/>
          <w:szCs w:val="22"/>
        </w:rPr>
        <w:t xml:space="preserve">Parker, Kernaghan and Hawley (2012). </w:t>
      </w:r>
      <w:hyperlink r:id="rId30" w:history="1">
        <w:r w:rsidRPr="00154968">
          <w:rPr>
            <w:rStyle w:val="Hyperlink"/>
            <w:rFonts w:asciiTheme="majorHAnsi" w:hAnsiTheme="majorHAnsi" w:cstheme="majorHAnsi"/>
            <w:color w:val="auto"/>
            <w:sz w:val="22"/>
            <w:szCs w:val="22"/>
          </w:rPr>
          <w:t>Mainstreaming Urban Climate Change Adaptation: Engaging Early ‘Adopters’.</w:t>
        </w:r>
      </w:hyperlink>
      <w:r w:rsidRPr="00154968">
        <w:rPr>
          <w:rFonts w:asciiTheme="majorHAnsi" w:hAnsiTheme="majorHAnsi" w:cstheme="majorHAnsi"/>
          <w:sz w:val="22"/>
          <w:szCs w:val="22"/>
        </w:rPr>
        <w:t xml:space="preserve"> UGEC Viewpoints; VII May 2012 </w:t>
      </w:r>
    </w:p>
    <w:p w14:paraId="4502CCFA" w14:textId="77777777" w:rsidR="00154968" w:rsidRPr="00154968" w:rsidRDefault="00154968" w:rsidP="00154968">
      <w:pPr>
        <w:pStyle w:val="BodyText"/>
        <w:numPr>
          <w:ilvl w:val="0"/>
          <w:numId w:val="5"/>
        </w:numPr>
        <w:spacing w:before="0"/>
        <w:rPr>
          <w:rFonts w:asciiTheme="majorHAnsi" w:hAnsiTheme="majorHAnsi" w:cstheme="majorHAnsi"/>
          <w:sz w:val="22"/>
          <w:szCs w:val="22"/>
        </w:rPr>
      </w:pPr>
      <w:r w:rsidRPr="00154968">
        <w:rPr>
          <w:rFonts w:asciiTheme="majorHAnsi" w:hAnsiTheme="majorHAnsi" w:cstheme="majorHAnsi"/>
          <w:sz w:val="22"/>
          <w:szCs w:val="22"/>
        </w:rPr>
        <w:t xml:space="preserve">Brown, A and Kernaghan, S (2011). </w:t>
      </w:r>
      <w:hyperlink r:id="rId31" w:history="1">
        <w:r w:rsidRPr="00154968">
          <w:rPr>
            <w:rStyle w:val="Hyperlink"/>
            <w:rFonts w:asciiTheme="majorHAnsi" w:hAnsiTheme="majorHAnsi" w:cstheme="majorHAnsi"/>
            <w:color w:val="auto"/>
            <w:sz w:val="22"/>
            <w:szCs w:val="22"/>
          </w:rPr>
          <w:t>Beyond Climate-Proofing: Taking an Integrated Approach to Building Climate Resilience in Asian Cities</w:t>
        </w:r>
      </w:hyperlink>
      <w:r w:rsidRPr="00154968">
        <w:rPr>
          <w:rFonts w:asciiTheme="majorHAnsi" w:hAnsiTheme="majorHAnsi" w:cstheme="majorHAnsi"/>
          <w:sz w:val="22"/>
          <w:szCs w:val="22"/>
        </w:rPr>
        <w:t>. In UGEC Viewpoints VI: Volume 6, November 2011</w:t>
      </w:r>
    </w:p>
    <w:p w14:paraId="5F208B7C" w14:textId="77777777" w:rsidR="00E93020" w:rsidRDefault="00E93020" w:rsidP="00F75532">
      <w:pPr>
        <w:pBdr>
          <w:bottom w:val="single" w:sz="6" w:space="1" w:color="auto"/>
        </w:pBdr>
        <w:rPr>
          <w:rFonts w:asciiTheme="majorHAnsi" w:hAnsiTheme="majorHAnsi" w:cstheme="majorHAnsi"/>
          <w:sz w:val="26"/>
          <w:szCs w:val="26"/>
          <w:lang w:val="en-US"/>
        </w:rPr>
      </w:pPr>
    </w:p>
    <w:p w14:paraId="24E0B54C" w14:textId="43E263EE" w:rsidR="00E81D43" w:rsidRPr="00BF16BD" w:rsidRDefault="00E81D43" w:rsidP="00F75532">
      <w:pPr>
        <w:pBdr>
          <w:bottom w:val="single" w:sz="6" w:space="1" w:color="auto"/>
        </w:pBdr>
        <w:rPr>
          <w:rFonts w:asciiTheme="majorHAnsi" w:hAnsiTheme="majorHAnsi" w:cstheme="majorHAnsi"/>
          <w:sz w:val="26"/>
          <w:szCs w:val="26"/>
          <w:lang w:val="en-US"/>
        </w:rPr>
      </w:pPr>
      <w:r w:rsidRPr="00BF16BD">
        <w:rPr>
          <w:rFonts w:asciiTheme="majorHAnsi" w:hAnsiTheme="majorHAnsi" w:cstheme="majorHAnsi"/>
          <w:sz w:val="26"/>
          <w:szCs w:val="26"/>
          <w:lang w:val="en-US"/>
        </w:rPr>
        <w:t>Advisory Boards</w:t>
      </w:r>
    </w:p>
    <w:p w14:paraId="792B2981" w14:textId="5A0AC41B" w:rsidR="00276C81" w:rsidRDefault="00276C81" w:rsidP="00AA5BE0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Green Cross Australia, Non-Executive Director</w:t>
      </w:r>
    </w:p>
    <w:p w14:paraId="78BF13E3" w14:textId="586A1818" w:rsidR="00AA5BE0" w:rsidRPr="00BF16BD" w:rsidRDefault="00AA5BE0" w:rsidP="00AA5BE0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Theme="majorHAnsi" w:hAnsiTheme="majorHAnsi" w:cstheme="majorHAnsi"/>
        </w:rPr>
      </w:pPr>
      <w:r w:rsidRPr="00BF16BD">
        <w:rPr>
          <w:rFonts w:asciiTheme="majorHAnsi" w:hAnsiTheme="majorHAnsi" w:cstheme="majorHAnsi"/>
        </w:rPr>
        <w:t>Greater Sydney Extreme Heat Taskforce</w:t>
      </w:r>
    </w:p>
    <w:p w14:paraId="556AEDEA" w14:textId="43B288CC" w:rsidR="00AA5BE0" w:rsidRPr="00BF16BD" w:rsidRDefault="00CC5EB4" w:rsidP="00AA5BE0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Planning Institute of Australia, NSW </w:t>
      </w:r>
      <w:r w:rsidR="00AC5F20">
        <w:rPr>
          <w:rFonts w:asciiTheme="majorHAnsi" w:hAnsiTheme="majorHAnsi" w:cstheme="majorHAnsi"/>
        </w:rPr>
        <w:t xml:space="preserve">Policy and Advocacy </w:t>
      </w:r>
      <w:r>
        <w:rPr>
          <w:rFonts w:asciiTheme="majorHAnsi" w:hAnsiTheme="majorHAnsi" w:cstheme="majorHAnsi"/>
        </w:rPr>
        <w:t xml:space="preserve"> </w:t>
      </w:r>
    </w:p>
    <w:p w14:paraId="32CE2815" w14:textId="77777777" w:rsidR="00E81D43" w:rsidRPr="00BF16BD" w:rsidRDefault="00E81D43" w:rsidP="00F75532">
      <w:pPr>
        <w:rPr>
          <w:rFonts w:asciiTheme="majorHAnsi" w:hAnsiTheme="majorHAnsi" w:cstheme="majorHAnsi"/>
          <w:lang w:val="en-US"/>
        </w:rPr>
      </w:pPr>
    </w:p>
    <w:p w14:paraId="695EE8FA" w14:textId="50958BC8" w:rsidR="001577DD" w:rsidRPr="00BF16BD" w:rsidRDefault="001577DD" w:rsidP="001577DD">
      <w:pPr>
        <w:pBdr>
          <w:bottom w:val="single" w:sz="6" w:space="1" w:color="auto"/>
        </w:pBdr>
        <w:rPr>
          <w:rFonts w:asciiTheme="majorHAnsi" w:hAnsiTheme="majorHAnsi" w:cstheme="majorHAnsi"/>
          <w:sz w:val="26"/>
          <w:szCs w:val="26"/>
          <w:lang w:val="en-US"/>
        </w:rPr>
      </w:pPr>
      <w:r w:rsidRPr="00BF16BD">
        <w:rPr>
          <w:rFonts w:asciiTheme="majorHAnsi" w:hAnsiTheme="majorHAnsi" w:cstheme="majorHAnsi"/>
          <w:sz w:val="26"/>
          <w:szCs w:val="26"/>
          <w:lang w:val="en-US"/>
        </w:rPr>
        <w:t>Recent Guest Lecturing and Keynote Presentations</w:t>
      </w:r>
    </w:p>
    <w:p w14:paraId="09BD41CF" w14:textId="49F4ADC8" w:rsidR="004035FC" w:rsidRPr="004035FC" w:rsidRDefault="004035FC" w:rsidP="004035FC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Theme="majorHAnsi" w:hAnsiTheme="majorHAnsi" w:cstheme="majorHAnsi"/>
          <w:color w:val="000000" w:themeColor="text1"/>
          <w:kern w:val="1"/>
        </w:rPr>
      </w:pPr>
      <w:r>
        <w:rPr>
          <w:rFonts w:asciiTheme="majorHAnsi" w:hAnsiTheme="majorHAnsi" w:cstheme="majorHAnsi"/>
          <w:color w:val="000000" w:themeColor="text1"/>
          <w:kern w:val="1"/>
        </w:rPr>
        <w:t xml:space="preserve">University of Sydney (2026) </w:t>
      </w:r>
      <w:r w:rsidRPr="00564420">
        <w:rPr>
          <w:rFonts w:asciiTheme="majorHAnsi" w:hAnsiTheme="majorHAnsi" w:cstheme="majorHAnsi"/>
          <w:color w:val="000000" w:themeColor="text1"/>
          <w:kern w:val="1"/>
        </w:rPr>
        <w:t xml:space="preserve">Guest Lecturer </w:t>
      </w:r>
      <w:r>
        <w:rPr>
          <w:rFonts w:asciiTheme="majorHAnsi" w:hAnsiTheme="majorHAnsi" w:cstheme="majorHAnsi"/>
          <w:color w:val="000000" w:themeColor="text1"/>
          <w:kern w:val="1"/>
        </w:rPr>
        <w:t xml:space="preserve">– </w:t>
      </w:r>
      <w:proofErr w:type="gramStart"/>
      <w:r>
        <w:rPr>
          <w:rFonts w:asciiTheme="majorHAnsi" w:hAnsiTheme="majorHAnsi" w:cstheme="majorHAnsi"/>
          <w:color w:val="000000" w:themeColor="text1"/>
          <w:kern w:val="1"/>
        </w:rPr>
        <w:t>Masters of Urban Planning</w:t>
      </w:r>
      <w:proofErr w:type="gramEnd"/>
      <w:r>
        <w:rPr>
          <w:rFonts w:asciiTheme="majorHAnsi" w:hAnsiTheme="majorHAnsi" w:cstheme="majorHAnsi"/>
          <w:color w:val="000000" w:themeColor="text1"/>
          <w:kern w:val="1"/>
        </w:rPr>
        <w:t xml:space="preserve"> </w:t>
      </w:r>
    </w:p>
    <w:p w14:paraId="31E54E18" w14:textId="3ACBFED7" w:rsidR="00564420" w:rsidRPr="00564420" w:rsidRDefault="00564420" w:rsidP="00564420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Theme="majorHAnsi" w:hAnsiTheme="majorHAnsi" w:cstheme="majorHAnsi"/>
          <w:color w:val="000000" w:themeColor="text1"/>
          <w:kern w:val="1"/>
        </w:rPr>
      </w:pPr>
      <w:r w:rsidRPr="00564420">
        <w:rPr>
          <w:rFonts w:asciiTheme="majorHAnsi" w:hAnsiTheme="majorHAnsi" w:cstheme="majorHAnsi"/>
          <w:color w:val="000000" w:themeColor="text1"/>
          <w:kern w:val="1"/>
        </w:rPr>
        <w:t xml:space="preserve">Western Sydney University (2025) Guest Lecturer – Sustainable Futures: </w:t>
      </w:r>
      <w:r w:rsidRPr="00564420">
        <w:rPr>
          <w:rFonts w:asciiTheme="majorHAnsi" w:hAnsiTheme="majorHAnsi" w:cstheme="majorHAnsi"/>
          <w:i/>
          <w:iCs/>
          <w:color w:val="000000" w:themeColor="text1"/>
          <w:kern w:val="1"/>
        </w:rPr>
        <w:t>Nature Positive Futures</w:t>
      </w:r>
    </w:p>
    <w:p w14:paraId="44F1C530" w14:textId="77777777" w:rsidR="00564420" w:rsidRPr="00564420" w:rsidRDefault="00564420" w:rsidP="00564420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Theme="majorHAnsi" w:hAnsiTheme="majorHAnsi" w:cstheme="majorHAnsi"/>
          <w:i/>
          <w:iCs/>
          <w:color w:val="000000" w:themeColor="text1"/>
          <w:kern w:val="1"/>
        </w:rPr>
      </w:pPr>
      <w:r w:rsidRPr="00564420">
        <w:rPr>
          <w:rFonts w:asciiTheme="majorHAnsi" w:hAnsiTheme="majorHAnsi" w:cstheme="majorHAnsi"/>
          <w:color w:val="000000" w:themeColor="text1"/>
          <w:kern w:val="1"/>
        </w:rPr>
        <w:t xml:space="preserve">Federal Government Lower House Standing Committee on Economics (2024): </w:t>
      </w:r>
      <w:r w:rsidRPr="00564420">
        <w:rPr>
          <w:rFonts w:asciiTheme="majorHAnsi" w:hAnsiTheme="majorHAnsi" w:cstheme="majorHAnsi"/>
          <w:i/>
          <w:iCs/>
          <w:color w:val="000000" w:themeColor="text1"/>
          <w:kern w:val="1"/>
        </w:rPr>
        <w:t xml:space="preserve">Inquiry into the 2022 East Coast Floods and Insurance response </w:t>
      </w:r>
    </w:p>
    <w:p w14:paraId="60AAAC61" w14:textId="77777777" w:rsidR="00AC5F20" w:rsidRPr="00AC5F20" w:rsidRDefault="00AC5F20" w:rsidP="00AC5F20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lang w:val="en-US"/>
        </w:rPr>
      </w:pPr>
      <w:r w:rsidRPr="00AC5F20">
        <w:rPr>
          <w:rFonts w:asciiTheme="majorHAnsi" w:hAnsiTheme="majorHAnsi" w:cstheme="majorHAnsi"/>
          <w:lang w:val="en-US"/>
        </w:rPr>
        <w:t>Insurance Council of Australia Annual Conference 2023: The role of resilience in tackling climate risk</w:t>
      </w:r>
    </w:p>
    <w:p w14:paraId="170D7DBC" w14:textId="4E4810BB" w:rsidR="00BF16BD" w:rsidRPr="00E93020" w:rsidRDefault="00BF16BD" w:rsidP="00E93020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lang w:val="en-US"/>
        </w:rPr>
      </w:pPr>
      <w:r w:rsidRPr="00E93020">
        <w:rPr>
          <w:rFonts w:asciiTheme="majorHAnsi" w:hAnsiTheme="majorHAnsi" w:cstheme="majorHAnsi"/>
          <w:lang w:val="en-US"/>
        </w:rPr>
        <w:t xml:space="preserve">Green Building Council of Australia (2023) TRANSFORM Conference - Resilient Cities Keynote: The Economic Case for City Wide Resilience </w:t>
      </w:r>
    </w:p>
    <w:p w14:paraId="7B9D476C" w14:textId="69FC42EB" w:rsidR="00BF16BD" w:rsidRPr="00E93020" w:rsidRDefault="00BF16BD" w:rsidP="00E93020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lang w:val="en-US"/>
        </w:rPr>
      </w:pPr>
      <w:r w:rsidRPr="00E93020">
        <w:rPr>
          <w:rFonts w:asciiTheme="majorHAnsi" w:hAnsiTheme="majorHAnsi" w:cstheme="majorHAnsi"/>
          <w:lang w:val="en-US"/>
        </w:rPr>
        <w:t xml:space="preserve">University of Adelaide (2022) Integrated Natural Hazard Risk Management Course – Guest Lecture: Politics of Disaster Risk Management </w:t>
      </w:r>
    </w:p>
    <w:p w14:paraId="5BC9E7EE" w14:textId="7496C08D" w:rsidR="00BF16BD" w:rsidRPr="00E93020" w:rsidRDefault="00BF16BD" w:rsidP="00E93020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lang w:val="en-US"/>
        </w:rPr>
      </w:pPr>
      <w:r w:rsidRPr="00E93020">
        <w:rPr>
          <w:rFonts w:asciiTheme="majorHAnsi" w:hAnsiTheme="majorHAnsi" w:cstheme="majorHAnsi"/>
          <w:lang w:val="en-US"/>
        </w:rPr>
        <w:t xml:space="preserve">VIVID Sydney (2022) Keynote: Changing the Risk Equation for Sydney </w:t>
      </w:r>
    </w:p>
    <w:p w14:paraId="6BD36C4D" w14:textId="73A84216" w:rsidR="00BF16BD" w:rsidRPr="00E93020" w:rsidRDefault="00BF16BD" w:rsidP="00E93020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lang w:val="en-US"/>
        </w:rPr>
      </w:pPr>
      <w:r w:rsidRPr="00E93020">
        <w:rPr>
          <w:rFonts w:asciiTheme="majorHAnsi" w:hAnsiTheme="majorHAnsi" w:cstheme="majorHAnsi"/>
          <w:lang w:val="en-US"/>
        </w:rPr>
        <w:t xml:space="preserve">NSW Upper House Inquiry (2021) Select Committee on the Proposal to Raise the Warragamba Dam Wall – Expert Evidence </w:t>
      </w:r>
    </w:p>
    <w:p w14:paraId="28EEB3D2" w14:textId="5A7C6681" w:rsidR="00BF16BD" w:rsidRPr="00E93020" w:rsidRDefault="00BF16BD" w:rsidP="00E93020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lang w:val="en-US"/>
        </w:rPr>
      </w:pPr>
      <w:r w:rsidRPr="00E93020">
        <w:rPr>
          <w:rFonts w:asciiTheme="majorHAnsi" w:hAnsiTheme="majorHAnsi" w:cstheme="majorHAnsi"/>
          <w:lang w:val="en-US"/>
        </w:rPr>
        <w:t xml:space="preserve">Infrastructure Sustainability Council of Australia (2021) Annual Conference Resilience Panel: Finance, Government, and Practical Action </w:t>
      </w:r>
    </w:p>
    <w:p w14:paraId="68753DDA" w14:textId="6898E46E" w:rsidR="00BF16BD" w:rsidRPr="00E93020" w:rsidRDefault="00BF16BD" w:rsidP="00E93020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lang w:val="en-US"/>
        </w:rPr>
      </w:pPr>
      <w:r w:rsidRPr="00E93020">
        <w:rPr>
          <w:rFonts w:asciiTheme="majorHAnsi" w:hAnsiTheme="majorHAnsi" w:cstheme="majorHAnsi"/>
          <w:lang w:val="en-US"/>
        </w:rPr>
        <w:t xml:space="preserve">National University of Singapore (2019) </w:t>
      </w:r>
      <w:proofErr w:type="gramStart"/>
      <w:r w:rsidRPr="00E93020">
        <w:rPr>
          <w:rFonts w:asciiTheme="majorHAnsi" w:hAnsiTheme="majorHAnsi" w:cstheme="majorHAnsi"/>
          <w:lang w:val="en-US"/>
        </w:rPr>
        <w:t>Masters of Urban Planning</w:t>
      </w:r>
      <w:proofErr w:type="gramEnd"/>
      <w:r w:rsidRPr="00E93020">
        <w:rPr>
          <w:rFonts w:asciiTheme="majorHAnsi" w:hAnsiTheme="majorHAnsi" w:cstheme="majorHAnsi"/>
          <w:lang w:val="en-US"/>
        </w:rPr>
        <w:t xml:space="preserve"> Degree Course – Guest Lecture: A Brief History of Urban Resilience </w:t>
      </w:r>
    </w:p>
    <w:p w14:paraId="61EE78FA" w14:textId="42C97259" w:rsidR="00A65626" w:rsidRPr="00E93020" w:rsidRDefault="00BF16BD" w:rsidP="00E93020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lang w:val="en-US"/>
        </w:rPr>
      </w:pPr>
      <w:r w:rsidRPr="00E93020">
        <w:rPr>
          <w:rFonts w:asciiTheme="majorHAnsi" w:hAnsiTheme="majorHAnsi" w:cstheme="majorHAnsi"/>
          <w:lang w:val="en-US"/>
        </w:rPr>
        <w:t>7th Asia-Pacific Urban Forum (2019) Keynote: Building Resilience across the Asia Pacific</w:t>
      </w:r>
    </w:p>
    <w:sectPr w:rsidR="00A65626" w:rsidRPr="00E93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20C5"/>
    <w:multiLevelType w:val="hybridMultilevel"/>
    <w:tmpl w:val="A784EC5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9E2BCB"/>
    <w:multiLevelType w:val="hybridMultilevel"/>
    <w:tmpl w:val="A2286F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46295"/>
    <w:multiLevelType w:val="hybridMultilevel"/>
    <w:tmpl w:val="99189716"/>
    <w:lvl w:ilvl="0" w:tplc="7C3810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2813DC"/>
    <w:multiLevelType w:val="hybridMultilevel"/>
    <w:tmpl w:val="2E74A5A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A11C60"/>
    <w:multiLevelType w:val="hybridMultilevel"/>
    <w:tmpl w:val="807218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64B50"/>
    <w:multiLevelType w:val="hybridMultilevel"/>
    <w:tmpl w:val="6FC41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5377A"/>
    <w:multiLevelType w:val="hybridMultilevel"/>
    <w:tmpl w:val="F6FE12C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BF31A9"/>
    <w:multiLevelType w:val="hybridMultilevel"/>
    <w:tmpl w:val="C102F6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63F7B"/>
    <w:multiLevelType w:val="hybridMultilevel"/>
    <w:tmpl w:val="08E6C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7391B"/>
    <w:multiLevelType w:val="hybridMultilevel"/>
    <w:tmpl w:val="19C88320"/>
    <w:lvl w:ilvl="0" w:tplc="7B503EAE">
      <w:numFmt w:val="bullet"/>
      <w:lvlText w:val="•"/>
      <w:lvlJc w:val="left"/>
      <w:pPr>
        <w:ind w:left="1080" w:hanging="720"/>
      </w:pPr>
      <w:rPr>
        <w:rFonts w:ascii="Calibri Light" w:eastAsiaTheme="minorHAns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17A12"/>
    <w:multiLevelType w:val="hybridMultilevel"/>
    <w:tmpl w:val="362C8A5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031204">
    <w:abstractNumId w:val="4"/>
  </w:num>
  <w:num w:numId="2" w16cid:durableId="1392458327">
    <w:abstractNumId w:val="7"/>
  </w:num>
  <w:num w:numId="3" w16cid:durableId="971060429">
    <w:abstractNumId w:val="8"/>
  </w:num>
  <w:num w:numId="4" w16cid:durableId="1851947726">
    <w:abstractNumId w:val="0"/>
  </w:num>
  <w:num w:numId="5" w16cid:durableId="149257049">
    <w:abstractNumId w:val="2"/>
  </w:num>
  <w:num w:numId="6" w16cid:durableId="1539733403">
    <w:abstractNumId w:val="10"/>
  </w:num>
  <w:num w:numId="7" w16cid:durableId="1529872813">
    <w:abstractNumId w:val="1"/>
  </w:num>
  <w:num w:numId="8" w16cid:durableId="375013422">
    <w:abstractNumId w:val="6"/>
  </w:num>
  <w:num w:numId="9" w16cid:durableId="1852455390">
    <w:abstractNumId w:val="9"/>
  </w:num>
  <w:num w:numId="10" w16cid:durableId="820540994">
    <w:abstractNumId w:val="3"/>
  </w:num>
  <w:num w:numId="11" w16cid:durableId="273177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FF"/>
    <w:rsid w:val="00030835"/>
    <w:rsid w:val="0003682E"/>
    <w:rsid w:val="00044224"/>
    <w:rsid w:val="00054129"/>
    <w:rsid w:val="00067BB0"/>
    <w:rsid w:val="00097ED2"/>
    <w:rsid w:val="000A55B9"/>
    <w:rsid w:val="000A6845"/>
    <w:rsid w:val="000D3398"/>
    <w:rsid w:val="000E7E79"/>
    <w:rsid w:val="0012328C"/>
    <w:rsid w:val="00126D2B"/>
    <w:rsid w:val="00140E06"/>
    <w:rsid w:val="00141454"/>
    <w:rsid w:val="00152CD0"/>
    <w:rsid w:val="00154968"/>
    <w:rsid w:val="001577DD"/>
    <w:rsid w:val="00167134"/>
    <w:rsid w:val="00194D5E"/>
    <w:rsid w:val="001A087F"/>
    <w:rsid w:val="001F02E2"/>
    <w:rsid w:val="00202A24"/>
    <w:rsid w:val="002058A2"/>
    <w:rsid w:val="002264CF"/>
    <w:rsid w:val="00252E42"/>
    <w:rsid w:val="00276C81"/>
    <w:rsid w:val="00280F0B"/>
    <w:rsid w:val="002A5E59"/>
    <w:rsid w:val="002D2A09"/>
    <w:rsid w:val="002D46A9"/>
    <w:rsid w:val="003150F0"/>
    <w:rsid w:val="00331E5D"/>
    <w:rsid w:val="00337DE1"/>
    <w:rsid w:val="003554DC"/>
    <w:rsid w:val="00372B7A"/>
    <w:rsid w:val="003809B0"/>
    <w:rsid w:val="003B3803"/>
    <w:rsid w:val="003E4443"/>
    <w:rsid w:val="003F51B1"/>
    <w:rsid w:val="004035FC"/>
    <w:rsid w:val="004822FF"/>
    <w:rsid w:val="004E4E1A"/>
    <w:rsid w:val="00553544"/>
    <w:rsid w:val="00560FD7"/>
    <w:rsid w:val="00564420"/>
    <w:rsid w:val="005929E3"/>
    <w:rsid w:val="005938E1"/>
    <w:rsid w:val="005E47B7"/>
    <w:rsid w:val="005F7FA9"/>
    <w:rsid w:val="00611C79"/>
    <w:rsid w:val="00637DF6"/>
    <w:rsid w:val="00645268"/>
    <w:rsid w:val="006466D2"/>
    <w:rsid w:val="00677420"/>
    <w:rsid w:val="00692BDC"/>
    <w:rsid w:val="006E5A1B"/>
    <w:rsid w:val="00720D9E"/>
    <w:rsid w:val="00745AA4"/>
    <w:rsid w:val="0077265F"/>
    <w:rsid w:val="0078343C"/>
    <w:rsid w:val="0078395F"/>
    <w:rsid w:val="00787208"/>
    <w:rsid w:val="00794C69"/>
    <w:rsid w:val="007974FE"/>
    <w:rsid w:val="007C0AFB"/>
    <w:rsid w:val="0080588E"/>
    <w:rsid w:val="0082146A"/>
    <w:rsid w:val="0083697F"/>
    <w:rsid w:val="008514C6"/>
    <w:rsid w:val="00851D99"/>
    <w:rsid w:val="008865F9"/>
    <w:rsid w:val="00890C6A"/>
    <w:rsid w:val="008950EF"/>
    <w:rsid w:val="008D5A40"/>
    <w:rsid w:val="008E7E0B"/>
    <w:rsid w:val="008F793A"/>
    <w:rsid w:val="00930439"/>
    <w:rsid w:val="00954284"/>
    <w:rsid w:val="00985451"/>
    <w:rsid w:val="00997992"/>
    <w:rsid w:val="009A3729"/>
    <w:rsid w:val="009C5E74"/>
    <w:rsid w:val="009D0E9B"/>
    <w:rsid w:val="009D1C54"/>
    <w:rsid w:val="009F7AD5"/>
    <w:rsid w:val="00A15EA0"/>
    <w:rsid w:val="00A22651"/>
    <w:rsid w:val="00A65120"/>
    <w:rsid w:val="00A65626"/>
    <w:rsid w:val="00AA5BE0"/>
    <w:rsid w:val="00AA60FA"/>
    <w:rsid w:val="00AA767E"/>
    <w:rsid w:val="00AC4748"/>
    <w:rsid w:val="00AC5F20"/>
    <w:rsid w:val="00AD31B5"/>
    <w:rsid w:val="00AE633E"/>
    <w:rsid w:val="00B06BBF"/>
    <w:rsid w:val="00B15F76"/>
    <w:rsid w:val="00B45884"/>
    <w:rsid w:val="00B758CD"/>
    <w:rsid w:val="00B843E6"/>
    <w:rsid w:val="00BA143B"/>
    <w:rsid w:val="00BF16BD"/>
    <w:rsid w:val="00C00969"/>
    <w:rsid w:val="00C01306"/>
    <w:rsid w:val="00C36F68"/>
    <w:rsid w:val="00C67863"/>
    <w:rsid w:val="00C81AAD"/>
    <w:rsid w:val="00C85060"/>
    <w:rsid w:val="00CA22FE"/>
    <w:rsid w:val="00CC037A"/>
    <w:rsid w:val="00CC1A78"/>
    <w:rsid w:val="00CC39EB"/>
    <w:rsid w:val="00CC5EB4"/>
    <w:rsid w:val="00CF5420"/>
    <w:rsid w:val="00D259C2"/>
    <w:rsid w:val="00D52C08"/>
    <w:rsid w:val="00D565ED"/>
    <w:rsid w:val="00D92AB4"/>
    <w:rsid w:val="00DB1408"/>
    <w:rsid w:val="00E050E0"/>
    <w:rsid w:val="00E05E0A"/>
    <w:rsid w:val="00E538F2"/>
    <w:rsid w:val="00E719CF"/>
    <w:rsid w:val="00E7389A"/>
    <w:rsid w:val="00E81D43"/>
    <w:rsid w:val="00E93020"/>
    <w:rsid w:val="00EA0B1B"/>
    <w:rsid w:val="00EA2036"/>
    <w:rsid w:val="00EC1DC8"/>
    <w:rsid w:val="00EC2B56"/>
    <w:rsid w:val="00EC5E87"/>
    <w:rsid w:val="00EC6E7F"/>
    <w:rsid w:val="00EC7670"/>
    <w:rsid w:val="00EC7A57"/>
    <w:rsid w:val="00F26FF8"/>
    <w:rsid w:val="00F54BD1"/>
    <w:rsid w:val="00F64FAB"/>
    <w:rsid w:val="00F75532"/>
    <w:rsid w:val="00F7621A"/>
    <w:rsid w:val="00F900B0"/>
    <w:rsid w:val="00FC2653"/>
    <w:rsid w:val="00FF43BE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A38B2"/>
  <w15:chartTrackingRefBased/>
  <w15:docId w15:val="{F45974C0-8D9D-4697-A2B1-0217239B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5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54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4D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154968"/>
    <w:pPr>
      <w:spacing w:before="120" w:after="0" w:line="240" w:lineRule="auto"/>
      <w:ind w:right="-108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154968"/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ydney.org.au/wp-content/uploads/2021/10/2021-09-Priorities-for-a-Net-Zero-Sydney.pdf" TargetMode="External"/><Relationship Id="rId18" Type="http://schemas.openxmlformats.org/officeDocument/2006/relationships/hyperlink" Target="https://sydney.org.au/wp-content/uploads/2021/11/Committee-for-Sydney-Warragamba-Dam-To-Raise-or-Not-June-2021.pdf" TargetMode="External"/><Relationship Id="rId26" Type="http://schemas.openxmlformats.org/officeDocument/2006/relationships/hyperlink" Target="https://www.sciencedirect.com/science/article/pii/S221209551300056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nescap.org/publications/future-asian-and-pacific-cities-2019-transformative-pathways-towards-sustainable-urban" TargetMode="External"/><Relationship Id="rId7" Type="http://schemas.openxmlformats.org/officeDocument/2006/relationships/hyperlink" Target="https://doi.org/10.1093/ooih/ouae007" TargetMode="External"/><Relationship Id="rId12" Type="http://schemas.openxmlformats.org/officeDocument/2006/relationships/hyperlink" Target="https://sydney.org.au/wp-content/uploads/2022/11/Committee-for-Sydney-Six-steps-to-decarbonise-the-six-cities-November-2022.pdf" TargetMode="External"/><Relationship Id="rId17" Type="http://schemas.openxmlformats.org/officeDocument/2006/relationships/hyperlink" Target="https://sydney.org.au/policy-library/its-time-to-move-people-out-of-the-path-of-the-floods/" TargetMode="External"/><Relationship Id="rId25" Type="http://schemas.openxmlformats.org/officeDocument/2006/relationships/hyperlink" Target="https://www.researchgate.net/profile/Sam-Kernaghan/publication/274349067_Briefing_Visions_of_a_resilient_city/links/561d8e2308aec7945a2534fb/Briefing-Visions-of-a-resilient-city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ydney.org.au/policy-library/stopping-the-cycle-of-disaster-in-sydney/" TargetMode="External"/><Relationship Id="rId20" Type="http://schemas.openxmlformats.org/officeDocument/2006/relationships/hyperlink" Target="https://resilientcitiesnetwork.org/urban_resiliences/manchester-briefing-18/" TargetMode="External"/><Relationship Id="rId29" Type="http://schemas.openxmlformats.org/officeDocument/2006/relationships/hyperlink" Target="https://www.tandfonline.com/doi/full/10.1080/19463138.2012.71827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ydney.org.au/wp-content/uploads/2025/06/Committee-for-Sydney-Sydney-as-a-renewable-energy-zone-June-2025.pdf" TargetMode="External"/><Relationship Id="rId11" Type="http://schemas.openxmlformats.org/officeDocument/2006/relationships/hyperlink" Target="https://sydney.org.au/wp-content/uploads/2022/08/Committee-for-Sydney-Decarbonising-Sydney-August-2022.pdf" TargetMode="External"/><Relationship Id="rId24" Type="http://schemas.openxmlformats.org/officeDocument/2006/relationships/hyperlink" Target="https://www.sciencedirect.com/science/article/pii/S2212095513000564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sydney.org.au/wp-content/uploads/2025/09/Committee-for-Sydney-Natures-Resilience-Dividend-September-2025.pdf" TargetMode="External"/><Relationship Id="rId15" Type="http://schemas.openxmlformats.org/officeDocument/2006/relationships/hyperlink" Target="https://thefifthestate.com.au/columns/spinifex/we-need-to-talk-about-sydneys-drinking-water-security/" TargetMode="External"/><Relationship Id="rId23" Type="http://schemas.openxmlformats.org/officeDocument/2006/relationships/hyperlink" Target="https://www.arup.com/perspectives/publications/research/section/city-resilience-index" TargetMode="External"/><Relationship Id="rId28" Type="http://schemas.openxmlformats.org/officeDocument/2006/relationships/hyperlink" Target="https://www.preventionweb.net/publication/nys-2100-commission-recommendations-improve-strength-and-resilience-empire-states" TargetMode="External"/><Relationship Id="rId10" Type="http://schemas.openxmlformats.org/officeDocument/2006/relationships/hyperlink" Target="https://sydney.org.au/wp-content/uploads/2023/02/Committee-for-Sydney-Nature-Positive-Sydney-February-2023.pdf" TargetMode="External"/><Relationship Id="rId19" Type="http://schemas.openxmlformats.org/officeDocument/2006/relationships/hyperlink" Target="https://sydney.org.au/wp-content/uploads/2021/12/Committee-for-Sydney-Ten-ideas-for-the-next-Greater-Sydney-Region-Plan-December-2021.pdf" TargetMode="External"/><Relationship Id="rId31" Type="http://schemas.openxmlformats.org/officeDocument/2006/relationships/hyperlink" Target="https://static.sustainability.asu.edu/docs/ugec/viewpoints/ugec-viewpoints-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21234.hostroomcdn.com/wp-content/uploads/2023/10/Committee-for-Sydney-Defending-Sydney-October-2023-2.pdf" TargetMode="External"/><Relationship Id="rId14" Type="http://schemas.openxmlformats.org/officeDocument/2006/relationships/hyperlink" Target="https://sydney.org.au/policy-library/we-can-learn-from-lismore-now/" TargetMode="External"/><Relationship Id="rId22" Type="http://schemas.openxmlformats.org/officeDocument/2006/relationships/hyperlink" Target="https://documents.worldbank.org/curated/en/996471525721935888/CityStrength-diagnostic-methodological-guidebook" TargetMode="External"/><Relationship Id="rId27" Type="http://schemas.openxmlformats.org/officeDocument/2006/relationships/hyperlink" Target="https://www.icevirtuallibrary.com/doi/full/10.1680/udap.13.00019" TargetMode="External"/><Relationship Id="rId30" Type="http://schemas.openxmlformats.org/officeDocument/2006/relationships/hyperlink" Target="http://www.ufz.de/export/data/403/43501_Viewpoints7_May2012_save.pdf" TargetMode="External"/><Relationship Id="rId8" Type="http://schemas.openxmlformats.org/officeDocument/2006/relationships/hyperlink" Target="https://a21234.hostroomcdn.com/wp-content/uploads/2024/03/Committee_for_Sydney_Burning_Money_March_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1307</Words>
  <Characters>7455</Characters>
  <Application>Microsoft Office Word</Application>
  <DocSecurity>0</DocSecurity>
  <Lines>62</Lines>
  <Paragraphs>17</Paragraphs>
  <ScaleCrop>false</ScaleCrop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 Bancroft</dc:creator>
  <cp:keywords/>
  <dc:description/>
  <cp:lastModifiedBy>Sam Kernaghan</cp:lastModifiedBy>
  <cp:revision>2</cp:revision>
  <dcterms:created xsi:type="dcterms:W3CDTF">2026-05-26T06:28:00Z</dcterms:created>
  <dcterms:modified xsi:type="dcterms:W3CDTF">2026-05-26T06:28:00Z</dcterms:modified>
</cp:coreProperties>
</file>